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75896" w14:textId="77777777" w:rsidR="00C64071" w:rsidRPr="00B26017" w:rsidRDefault="00C64071" w:rsidP="00C64071">
      <w:pPr>
        <w:spacing w:after="0" w:line="240" w:lineRule="auto"/>
        <w:ind w:firstLine="709"/>
        <w:jc w:val="center"/>
        <w:rPr>
          <w:rFonts w:ascii="Times New Roman" w:hAnsi="Times New Roman"/>
          <w:b/>
          <w:bCs/>
        </w:rPr>
      </w:pPr>
      <w:r w:rsidRPr="00B26017">
        <w:rPr>
          <w:rFonts w:ascii="Times New Roman" w:hAnsi="Times New Roman"/>
          <w:b/>
          <w:bCs/>
        </w:rPr>
        <w:t>Что насторожит налоговиков в вашем РСВ за 9 месяцев</w:t>
      </w:r>
    </w:p>
    <w:p w14:paraId="2E0E734C" w14:textId="77777777" w:rsidR="00C64071" w:rsidRPr="00B26017" w:rsidRDefault="00C64071" w:rsidP="00C64071">
      <w:pPr>
        <w:spacing w:after="0" w:line="240" w:lineRule="auto"/>
        <w:ind w:firstLine="709"/>
        <w:jc w:val="both"/>
        <w:rPr>
          <w:rFonts w:ascii="Times New Roman" w:hAnsi="Times New Roman"/>
        </w:rPr>
      </w:pPr>
    </w:p>
    <w:p w14:paraId="7B69E75F" w14:textId="77777777" w:rsidR="00C64071" w:rsidRPr="00B26017" w:rsidRDefault="00C64071" w:rsidP="00C64071">
      <w:pPr>
        <w:spacing w:after="0" w:line="240" w:lineRule="auto"/>
        <w:ind w:firstLine="709"/>
        <w:jc w:val="both"/>
        <w:rPr>
          <w:rFonts w:ascii="Times New Roman" w:hAnsi="Times New Roman"/>
        </w:rPr>
      </w:pPr>
      <w:r w:rsidRPr="00B26017">
        <w:rPr>
          <w:rFonts w:ascii="Times New Roman" w:hAnsi="Times New Roman"/>
        </w:rPr>
        <w:t>Все больше информации о нарушениях налоговики получают на камеральных проверках ваших расчетов и деклараций. Приходить в компанию инспекторам вовсе не обязательно. Недочеты организации видны проверяющим и из вашего расчета по взносам. Узнайте, на что в первую очередь смотрят контролеры, и их запросы не застанут вас врасплох.</w:t>
      </w:r>
    </w:p>
    <w:p w14:paraId="28DE33A1" w14:textId="77777777" w:rsidR="00C64071" w:rsidRPr="00B26017" w:rsidRDefault="00C64071" w:rsidP="00C64071">
      <w:pPr>
        <w:spacing w:after="0" w:line="240" w:lineRule="auto"/>
        <w:ind w:firstLine="709"/>
        <w:jc w:val="both"/>
        <w:rPr>
          <w:rFonts w:ascii="Times New Roman" w:hAnsi="Times New Roman"/>
          <w:b/>
          <w:bCs/>
        </w:rPr>
      </w:pPr>
      <w:r w:rsidRPr="00B26017">
        <w:rPr>
          <w:rFonts w:ascii="Times New Roman" w:hAnsi="Times New Roman"/>
          <w:b/>
          <w:bCs/>
        </w:rPr>
        <w:t>Необлагаемые выплаты</w:t>
      </w:r>
    </w:p>
    <w:p w14:paraId="6F6F74BD" w14:textId="77777777" w:rsidR="00C64071" w:rsidRPr="00B26017" w:rsidRDefault="00C64071" w:rsidP="00C64071">
      <w:pPr>
        <w:spacing w:after="0" w:line="240" w:lineRule="auto"/>
        <w:ind w:firstLine="709"/>
        <w:jc w:val="both"/>
        <w:rPr>
          <w:rFonts w:ascii="Times New Roman" w:hAnsi="Times New Roman"/>
        </w:rPr>
      </w:pPr>
      <w:r w:rsidRPr="00B26017">
        <w:rPr>
          <w:rFonts w:ascii="Times New Roman" w:hAnsi="Times New Roman"/>
        </w:rPr>
        <w:t>В отличие от НДФЛ в расчет по взносам включают в том числе и необлагаемые выплаты. И если их сумма значительна, инспекторы попросят пояснения и расшифровку.</w:t>
      </w:r>
    </w:p>
    <w:p w14:paraId="21DE5AEB" w14:textId="77777777" w:rsidR="00C64071" w:rsidRPr="00B26017" w:rsidRDefault="00C64071" w:rsidP="00C64071">
      <w:pPr>
        <w:spacing w:after="0" w:line="240" w:lineRule="auto"/>
        <w:ind w:firstLine="709"/>
        <w:jc w:val="both"/>
        <w:rPr>
          <w:rFonts w:ascii="Times New Roman" w:hAnsi="Times New Roman"/>
        </w:rPr>
      </w:pPr>
      <w:r>
        <w:rPr>
          <w:rFonts w:ascii="Times New Roman" w:hAnsi="Times New Roman"/>
          <w:noProof/>
          <w:lang w:eastAsia="ru-RU"/>
        </w:rPr>
        <w:drawing>
          <wp:inline distT="0" distB="0" distL="0" distR="0" wp14:anchorId="79ADEC85" wp14:editId="2057A19B">
            <wp:extent cx="5220335" cy="3168650"/>
            <wp:effectExtent l="19050" t="0" r="0" b="0"/>
            <wp:docPr id="1"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9"/>
                    <pic:cNvPicPr>
                      <a:picLocks noChangeAspect="1" noChangeArrowheads="1"/>
                    </pic:cNvPicPr>
                  </pic:nvPicPr>
                  <pic:blipFill>
                    <a:blip r:embed="rId4" cstate="print"/>
                    <a:srcRect/>
                    <a:stretch>
                      <a:fillRect/>
                    </a:stretch>
                  </pic:blipFill>
                  <pic:spPr bwMode="auto">
                    <a:xfrm>
                      <a:off x="0" y="0"/>
                      <a:ext cx="5220335" cy="3168650"/>
                    </a:xfrm>
                    <a:prstGeom prst="rect">
                      <a:avLst/>
                    </a:prstGeom>
                    <a:noFill/>
                    <a:ln w="9525">
                      <a:noFill/>
                      <a:miter lim="800000"/>
                      <a:headEnd/>
                      <a:tailEnd/>
                    </a:ln>
                  </pic:spPr>
                </pic:pic>
              </a:graphicData>
            </a:graphic>
          </wp:inline>
        </w:drawing>
      </w:r>
    </w:p>
    <w:p w14:paraId="6A529E58" w14:textId="77777777" w:rsidR="00C64071" w:rsidRPr="00B26017" w:rsidRDefault="00C64071" w:rsidP="00C64071">
      <w:pPr>
        <w:spacing w:after="0" w:line="240" w:lineRule="auto"/>
        <w:ind w:firstLine="709"/>
        <w:jc w:val="both"/>
        <w:rPr>
          <w:rFonts w:ascii="Times New Roman" w:hAnsi="Times New Roman"/>
        </w:rPr>
      </w:pPr>
      <w:r w:rsidRPr="00B26017">
        <w:rPr>
          <w:rFonts w:ascii="Times New Roman" w:hAnsi="Times New Roman"/>
        </w:rPr>
        <w:t>Не включайте в РСВ «лишние» необлагаемые выплаты сотрудникам. Покажите только выплаты, которые связаны с трудовыми отношениями и входят в базу по взносам. Это правило касается, например, командировочных, пособий и выплат при увольнении. Сначала покажите выплаты в общей сумме доходов, затем в составе необлагаемых начислений.</w:t>
      </w:r>
    </w:p>
    <w:p w14:paraId="7E917FEA" w14:textId="77777777" w:rsidR="00C64071" w:rsidRDefault="00C64071" w:rsidP="00C64071">
      <w:pPr>
        <w:spacing w:after="0" w:line="240" w:lineRule="auto"/>
        <w:ind w:firstLine="709"/>
        <w:jc w:val="both"/>
        <w:rPr>
          <w:rFonts w:ascii="Times New Roman" w:hAnsi="Times New Roman"/>
        </w:rPr>
      </w:pPr>
      <w:r w:rsidRPr="00B26017">
        <w:rPr>
          <w:rFonts w:ascii="Times New Roman" w:hAnsi="Times New Roman"/>
        </w:rPr>
        <w:t>Выплаты, которые не входят в объект обложения взносами, в РСВ не отражайте совсем. Это дивиденды, материальная выгода, арендная плата, подарки, займы и т. д. Но выдачу подарка оформите по письменному договору дарения. Тогда это будут уже не трудовые, а гражданско-правовые отношения (</w:t>
      </w:r>
      <w:hyperlink r:id="rId5" w:anchor="ZAP230K3F7" w:tgtFrame="_blank" w:history="1">
        <w:r w:rsidRPr="00B26017">
          <w:rPr>
            <w:rStyle w:val="a3"/>
            <w:rFonts w:ascii="Times New Roman" w:hAnsi="Times New Roman"/>
          </w:rPr>
          <w:t>п. 4</w:t>
        </w:r>
      </w:hyperlink>
      <w:r w:rsidRPr="00B26017">
        <w:rPr>
          <w:rFonts w:ascii="Times New Roman" w:hAnsi="Times New Roman"/>
        </w:rPr>
        <w:t> ст. 420 НК, </w:t>
      </w:r>
      <w:hyperlink r:id="rId6" w:tgtFrame="_blank" w:history="1">
        <w:r w:rsidRPr="00B26017">
          <w:rPr>
            <w:rStyle w:val="a3"/>
            <w:rFonts w:ascii="Times New Roman" w:hAnsi="Times New Roman"/>
          </w:rPr>
          <w:t>письмо Минфина от 20.01.2017 № 03-15-06/2437</w:t>
        </w:r>
      </w:hyperlink>
      <w:r w:rsidRPr="00B26017">
        <w:rPr>
          <w:rFonts w:ascii="Times New Roman" w:hAnsi="Times New Roman"/>
        </w:rPr>
        <w:t>).</w:t>
      </w:r>
    </w:p>
    <w:p w14:paraId="64B3B536" w14:textId="77777777" w:rsidR="00146162" w:rsidRPr="00B26017" w:rsidRDefault="00146162" w:rsidP="00C64071">
      <w:pPr>
        <w:spacing w:after="0" w:line="240" w:lineRule="auto"/>
        <w:ind w:firstLine="709"/>
        <w:jc w:val="both"/>
        <w:rPr>
          <w:rFonts w:ascii="Times New Roman" w:hAnsi="Times New Roman"/>
        </w:rPr>
      </w:pPr>
    </w:p>
    <w:p w14:paraId="2EE52E11" w14:textId="77777777" w:rsidR="00C64071" w:rsidRPr="00B26017" w:rsidRDefault="00C64071" w:rsidP="00C64071">
      <w:pPr>
        <w:spacing w:after="0" w:line="240" w:lineRule="auto"/>
        <w:ind w:firstLine="709"/>
        <w:jc w:val="both"/>
        <w:rPr>
          <w:rFonts w:ascii="Times New Roman" w:hAnsi="Times New Roman"/>
        </w:rPr>
      </w:pPr>
      <w:r w:rsidRPr="00B26017">
        <w:rPr>
          <w:rFonts w:ascii="Times New Roman" w:hAnsi="Times New Roman"/>
        </w:rPr>
        <w:t>27</w:t>
      </w:r>
    </w:p>
    <w:p w14:paraId="292517F8" w14:textId="77777777" w:rsidR="00C64071" w:rsidRPr="00B26017" w:rsidRDefault="00C64071" w:rsidP="00C64071">
      <w:pPr>
        <w:spacing w:after="0" w:line="240" w:lineRule="auto"/>
        <w:ind w:firstLine="709"/>
        <w:jc w:val="both"/>
        <w:rPr>
          <w:rFonts w:ascii="Times New Roman" w:hAnsi="Times New Roman"/>
          <w:b/>
          <w:bCs/>
        </w:rPr>
      </w:pPr>
      <w:r w:rsidRPr="00B26017">
        <w:rPr>
          <w:rFonts w:ascii="Times New Roman" w:hAnsi="Times New Roman"/>
          <w:b/>
          <w:bCs/>
        </w:rPr>
        <w:t>октября —</w:t>
      </w:r>
    </w:p>
    <w:p w14:paraId="0F155E1D" w14:textId="77777777" w:rsidR="00C64071" w:rsidRDefault="00C64071" w:rsidP="00C64071">
      <w:pPr>
        <w:spacing w:after="0" w:line="240" w:lineRule="auto"/>
        <w:ind w:firstLine="709"/>
        <w:jc w:val="both"/>
        <w:rPr>
          <w:rFonts w:ascii="Times New Roman" w:hAnsi="Times New Roman"/>
        </w:rPr>
      </w:pPr>
      <w:r w:rsidRPr="00B26017">
        <w:rPr>
          <w:rFonts w:ascii="Times New Roman" w:hAnsi="Times New Roman"/>
        </w:rPr>
        <w:t>не позже этой даты нужно сдать РСВ за год (перенос с 25 октября)</w:t>
      </w:r>
    </w:p>
    <w:p w14:paraId="575F36FC" w14:textId="77777777" w:rsidR="00146162" w:rsidRPr="00B26017" w:rsidRDefault="00146162" w:rsidP="00C64071">
      <w:pPr>
        <w:spacing w:after="0" w:line="240" w:lineRule="auto"/>
        <w:ind w:firstLine="709"/>
        <w:jc w:val="both"/>
        <w:rPr>
          <w:rFonts w:ascii="Times New Roman" w:hAnsi="Times New Roman"/>
        </w:rPr>
      </w:pPr>
    </w:p>
    <w:p w14:paraId="41C829EB" w14:textId="77777777" w:rsidR="00C64071" w:rsidRPr="00B26017" w:rsidRDefault="00C64071" w:rsidP="00C64071">
      <w:pPr>
        <w:spacing w:after="0" w:line="240" w:lineRule="auto"/>
        <w:ind w:firstLine="709"/>
        <w:jc w:val="both"/>
        <w:rPr>
          <w:rFonts w:ascii="Times New Roman" w:hAnsi="Times New Roman"/>
        </w:rPr>
      </w:pPr>
      <w:r w:rsidRPr="00B26017">
        <w:rPr>
          <w:rFonts w:ascii="Times New Roman" w:hAnsi="Times New Roman"/>
        </w:rPr>
        <w:t xml:space="preserve">Не включайте в расчет страховых взносов подотчетные суммы. Но если работник не отчитается по ним, это будет уже его доход, с которого надо заплатить взносы. Тогда эти суммы нужно включить и в РСВ. Например, если сотрудник не представил авансовый отчет или не приложил к нему чеки, а организация не удержала долг из доходов </w:t>
      </w:r>
      <w:proofErr w:type="spellStart"/>
      <w:r w:rsidRPr="00B26017">
        <w:rPr>
          <w:rFonts w:ascii="Times New Roman" w:hAnsi="Times New Roman"/>
        </w:rPr>
        <w:t>подотчетника</w:t>
      </w:r>
      <w:proofErr w:type="spellEnd"/>
      <w:r w:rsidRPr="00B26017">
        <w:rPr>
          <w:rFonts w:ascii="Times New Roman" w:hAnsi="Times New Roman"/>
        </w:rPr>
        <w:t xml:space="preserve"> (письма Минфина </w:t>
      </w:r>
      <w:hyperlink r:id="rId7" w:tgtFrame="_blank" w:history="1">
        <w:r w:rsidRPr="00B26017">
          <w:rPr>
            <w:rStyle w:val="a3"/>
            <w:rFonts w:ascii="Times New Roman" w:hAnsi="Times New Roman"/>
          </w:rPr>
          <w:t>от 30.04.2025 № 03-15-06/44169</w:t>
        </w:r>
      </w:hyperlink>
      <w:r w:rsidRPr="00B26017">
        <w:rPr>
          <w:rFonts w:ascii="Times New Roman" w:hAnsi="Times New Roman"/>
        </w:rPr>
        <w:t>, </w:t>
      </w:r>
      <w:hyperlink r:id="rId8" w:tgtFrame="_blank" w:history="1">
        <w:r w:rsidRPr="00B26017">
          <w:rPr>
            <w:rStyle w:val="a3"/>
            <w:rFonts w:ascii="Times New Roman" w:hAnsi="Times New Roman"/>
          </w:rPr>
          <w:t>от 01.02.2018 № 03-04-06/5808</w:t>
        </w:r>
      </w:hyperlink>
      <w:r w:rsidRPr="00B26017">
        <w:rPr>
          <w:rFonts w:ascii="Times New Roman" w:hAnsi="Times New Roman"/>
        </w:rPr>
        <w:t>). Взносы надо начислить на дату события, которое произойдет раньше (</w:t>
      </w:r>
      <w:hyperlink r:id="rId9" w:tgtFrame="_blank" w:history="1">
        <w:r w:rsidRPr="00B26017">
          <w:rPr>
            <w:rStyle w:val="a3"/>
            <w:rFonts w:ascii="Times New Roman" w:hAnsi="Times New Roman"/>
          </w:rPr>
          <w:t>п. 5</w:t>
        </w:r>
      </w:hyperlink>
      <w:r w:rsidRPr="00B26017">
        <w:rPr>
          <w:rFonts w:ascii="Times New Roman" w:hAnsi="Times New Roman"/>
        </w:rPr>
        <w:t> прил. к письму ФСС от 14.04.2015 № 02-09-11/06-5250, письма </w:t>
      </w:r>
      <w:hyperlink r:id="rId10" w:tgtFrame="_blank" w:history="1">
        <w:r w:rsidRPr="00B26017">
          <w:rPr>
            <w:rStyle w:val="a3"/>
            <w:rFonts w:ascii="Times New Roman" w:hAnsi="Times New Roman"/>
          </w:rPr>
          <w:t>Минтруда от 12.12.2014 N 17-3/В-609</w:t>
        </w:r>
      </w:hyperlink>
      <w:r w:rsidRPr="00B26017">
        <w:rPr>
          <w:rFonts w:ascii="Times New Roman" w:hAnsi="Times New Roman"/>
        </w:rPr>
        <w:t>, </w:t>
      </w:r>
      <w:hyperlink r:id="rId11" w:tgtFrame="_blank" w:history="1">
        <w:r w:rsidRPr="00B26017">
          <w:rPr>
            <w:rStyle w:val="a3"/>
            <w:rFonts w:ascii="Times New Roman" w:hAnsi="Times New Roman"/>
          </w:rPr>
          <w:t>Минфина от 16.11.2016 № 03-04-12/67082</w:t>
        </w:r>
      </w:hyperlink>
      <w:r w:rsidRPr="00B26017">
        <w:rPr>
          <w:rFonts w:ascii="Times New Roman" w:hAnsi="Times New Roman"/>
        </w:rPr>
        <w:t xml:space="preserve">). Первый вариант — на дату истечения месячного срока для удержания подотчетных из зарплаты. При условии, </w:t>
      </w:r>
      <w:r w:rsidRPr="00B26017">
        <w:rPr>
          <w:rFonts w:ascii="Times New Roman" w:hAnsi="Times New Roman"/>
        </w:rPr>
        <w:lastRenderedPageBreak/>
        <w:t xml:space="preserve">что такое решение так и не приняли. Если долг работник вернет позже, нужно будет сделать перерасчет. Второй вариант — на дату списания задолженности, если принято решение об отказе от удержания. Например, простили </w:t>
      </w:r>
      <w:proofErr w:type="spellStart"/>
      <w:r w:rsidRPr="00B26017">
        <w:rPr>
          <w:rFonts w:ascii="Times New Roman" w:hAnsi="Times New Roman"/>
        </w:rPr>
        <w:t>подотчетнику</w:t>
      </w:r>
      <w:proofErr w:type="spellEnd"/>
      <w:r w:rsidRPr="00B26017">
        <w:rPr>
          <w:rFonts w:ascii="Times New Roman" w:hAnsi="Times New Roman"/>
        </w:rPr>
        <w:t xml:space="preserve"> долг.</w:t>
      </w:r>
    </w:p>
    <w:p w14:paraId="36FCFCBB" w14:textId="77777777" w:rsidR="00C64071" w:rsidRPr="00B26017" w:rsidRDefault="00C64071" w:rsidP="00C64071">
      <w:pPr>
        <w:spacing w:after="0" w:line="240" w:lineRule="auto"/>
        <w:ind w:firstLine="709"/>
        <w:jc w:val="both"/>
        <w:rPr>
          <w:rFonts w:ascii="Times New Roman" w:hAnsi="Times New Roman"/>
        </w:rPr>
      </w:pPr>
      <w:r w:rsidRPr="00B26017">
        <w:rPr>
          <w:rFonts w:ascii="Times New Roman" w:hAnsi="Times New Roman"/>
        </w:rPr>
        <w:t>Шпаргалка</w:t>
      </w:r>
    </w:p>
    <w:p w14:paraId="22785C0A" w14:textId="77777777" w:rsidR="00C64071" w:rsidRPr="00B26017" w:rsidRDefault="00C64071" w:rsidP="00C64071">
      <w:pPr>
        <w:spacing w:after="0" w:line="240" w:lineRule="auto"/>
        <w:ind w:firstLine="709"/>
        <w:jc w:val="both"/>
        <w:rPr>
          <w:rFonts w:ascii="Times New Roman" w:hAnsi="Times New Roman"/>
          <w:b/>
          <w:bCs/>
        </w:rPr>
      </w:pPr>
      <w:r w:rsidRPr="00B26017">
        <w:rPr>
          <w:rFonts w:ascii="Times New Roman" w:hAnsi="Times New Roman"/>
          <w:b/>
          <w:bCs/>
        </w:rPr>
        <w:t>Как считать с 1 сентября не облагаемый взносами лимит выплат при увольнении</w:t>
      </w:r>
    </w:p>
    <w:p w14:paraId="7E6FB7C2" w14:textId="77777777" w:rsidR="00C64071" w:rsidRPr="00B26017" w:rsidRDefault="00C64071" w:rsidP="00C64071">
      <w:pPr>
        <w:spacing w:after="0" w:line="240" w:lineRule="auto"/>
        <w:ind w:firstLine="709"/>
        <w:jc w:val="both"/>
        <w:rPr>
          <w:rFonts w:ascii="Times New Roman" w:hAnsi="Times New Roman"/>
        </w:rPr>
      </w:pPr>
      <w:r w:rsidRPr="00B26017">
        <w:rPr>
          <w:rFonts w:ascii="Times New Roman" w:hAnsi="Times New Roman"/>
        </w:rPr>
        <w:t>Сумма выплат при увольнении не облагается взносами, если не превышает трехкратный размер среднего месячного заработка. Для работников Крайнего Севера и приравненных к нему местностей лимит составляет шестикратный размер среднего месячного заработка. Взносы платят с суммы превышения (</w:t>
      </w:r>
      <w:hyperlink r:id="rId12" w:anchor="ZAP25B63GV" w:tgtFrame="_blank" w:history="1">
        <w:r w:rsidRPr="00B26017">
          <w:rPr>
            <w:rStyle w:val="a3"/>
            <w:rFonts w:ascii="Times New Roman" w:hAnsi="Times New Roman"/>
          </w:rPr>
          <w:t>подп. 2 п. 1 ст. 422 НК</w:t>
        </w:r>
      </w:hyperlink>
      <w:r w:rsidRPr="00B26017">
        <w:rPr>
          <w:rFonts w:ascii="Times New Roman" w:hAnsi="Times New Roman"/>
        </w:rPr>
        <w:t>).</w:t>
      </w:r>
    </w:p>
    <w:p w14:paraId="1EE97C4C" w14:textId="77777777" w:rsidR="00C64071" w:rsidRPr="00B26017" w:rsidRDefault="00C64071" w:rsidP="00C64071">
      <w:pPr>
        <w:spacing w:after="0" w:line="240" w:lineRule="auto"/>
        <w:ind w:firstLine="709"/>
        <w:jc w:val="both"/>
        <w:rPr>
          <w:rFonts w:ascii="Times New Roman" w:hAnsi="Times New Roman"/>
        </w:rPr>
      </w:pPr>
      <w:r w:rsidRPr="00B26017">
        <w:rPr>
          <w:rFonts w:ascii="Times New Roman" w:hAnsi="Times New Roman"/>
        </w:rPr>
        <w:t>Как рассчитать не облагаемый взносами норматив, в Налоговом кодексе не сказано — в отличие от НДФЛ никаких изменений в отношении взносов в НК не вносили. Минтруд в свое время пояснял, что при расчете выходного пособия и среднего заработка на период трудоустройства необходимо применять правила из </w:t>
      </w:r>
      <w:hyperlink r:id="rId13" w:anchor="ZA02AVG3L0" w:tgtFrame="_blank" w:history="1">
        <w:r w:rsidRPr="00B26017">
          <w:rPr>
            <w:rStyle w:val="a3"/>
            <w:rFonts w:ascii="Times New Roman" w:hAnsi="Times New Roman"/>
          </w:rPr>
          <w:t>статьи 139</w:t>
        </w:r>
      </w:hyperlink>
      <w:r w:rsidRPr="00B26017">
        <w:rPr>
          <w:rFonts w:ascii="Times New Roman" w:hAnsi="Times New Roman"/>
        </w:rPr>
        <w:t> ТК и </w:t>
      </w:r>
      <w:hyperlink r:id="rId14" w:tgtFrame="_blank" w:history="1">
        <w:r w:rsidRPr="00B26017">
          <w:rPr>
            <w:rStyle w:val="a3"/>
            <w:rFonts w:ascii="Times New Roman" w:hAnsi="Times New Roman"/>
          </w:rPr>
          <w:t>постановления Правительства от 24.12.2007 № 922</w:t>
        </w:r>
      </w:hyperlink>
      <w:r w:rsidRPr="00B26017">
        <w:rPr>
          <w:rFonts w:ascii="Times New Roman" w:hAnsi="Times New Roman"/>
        </w:rPr>
        <w:t> (</w:t>
      </w:r>
      <w:hyperlink r:id="rId15" w:tgtFrame="_blank" w:history="1">
        <w:r w:rsidRPr="00B26017">
          <w:rPr>
            <w:rStyle w:val="a3"/>
            <w:rFonts w:ascii="Times New Roman" w:hAnsi="Times New Roman"/>
          </w:rPr>
          <w:t>письмо от 11.03.2021 № 14-1/ООГ-2066</w:t>
        </w:r>
      </w:hyperlink>
      <w:r w:rsidRPr="00B26017">
        <w:rPr>
          <w:rFonts w:ascii="Times New Roman" w:hAnsi="Times New Roman"/>
        </w:rPr>
        <w:t>). Но с 1 сентября действует новое положение по расчету среднего заработка (утв. </w:t>
      </w:r>
      <w:hyperlink r:id="rId16" w:tgtFrame="_blank" w:history="1">
        <w:r w:rsidRPr="00B26017">
          <w:rPr>
            <w:rStyle w:val="a3"/>
            <w:rFonts w:ascii="Times New Roman" w:hAnsi="Times New Roman"/>
          </w:rPr>
          <w:t>постановлением Правительства от 24.04.2025 № 540</w:t>
        </w:r>
      </w:hyperlink>
      <w:r w:rsidRPr="00B26017">
        <w:rPr>
          <w:rFonts w:ascii="Times New Roman" w:hAnsi="Times New Roman"/>
        </w:rPr>
        <w:t>). Однако расчет лимита остается прежним: средний дневной заработок нужно умножать на количество рабочих и праздничных дней в первых трех или шести месяцах после увольнения. Такой расчет нам подтвердили в ФНС, но официальных разъяснений пока нет.</w:t>
      </w:r>
    </w:p>
    <w:p w14:paraId="7E523BF5" w14:textId="77777777" w:rsidR="00C64071" w:rsidRPr="00B26017" w:rsidRDefault="00C64071" w:rsidP="00C64071">
      <w:pPr>
        <w:spacing w:after="0" w:line="240" w:lineRule="auto"/>
        <w:ind w:firstLine="709"/>
        <w:jc w:val="both"/>
        <w:rPr>
          <w:rFonts w:ascii="Times New Roman" w:hAnsi="Times New Roman"/>
        </w:rPr>
      </w:pPr>
      <w:r>
        <w:rPr>
          <w:rFonts w:ascii="Times New Roman" w:hAnsi="Times New Roman"/>
          <w:noProof/>
          <w:lang w:eastAsia="ru-RU"/>
        </w:rPr>
        <w:drawing>
          <wp:anchor distT="0" distB="0" distL="114300" distR="114300" simplePos="0" relativeHeight="251658240" behindDoc="0" locked="0" layoutInCell="1" allowOverlap="1" wp14:anchorId="5CDF7160" wp14:editId="719B82C2">
            <wp:simplePos x="0" y="0"/>
            <wp:positionH relativeFrom="column">
              <wp:posOffset>469629</wp:posOffset>
            </wp:positionH>
            <wp:positionV relativeFrom="paragraph">
              <wp:posOffset>285</wp:posOffset>
            </wp:positionV>
            <wp:extent cx="1903095" cy="2828290"/>
            <wp:effectExtent l="0" t="0" r="0" b="0"/>
            <wp:wrapSquare wrapText="bothSides"/>
            <wp:docPr id="2"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3095" cy="28282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3D329BB" w14:textId="77777777" w:rsidR="00C64071" w:rsidRPr="00B26017" w:rsidRDefault="00C64071" w:rsidP="00C64071">
      <w:pPr>
        <w:spacing w:after="0" w:line="240" w:lineRule="auto"/>
        <w:ind w:firstLine="709"/>
        <w:jc w:val="both"/>
        <w:rPr>
          <w:rFonts w:ascii="Times New Roman" w:hAnsi="Times New Roman"/>
          <w:b/>
          <w:bCs/>
        </w:rPr>
      </w:pPr>
      <w:r w:rsidRPr="00B26017">
        <w:rPr>
          <w:rFonts w:ascii="Times New Roman" w:hAnsi="Times New Roman"/>
          <w:b/>
          <w:bCs/>
        </w:rPr>
        <w:t>Выплаты сотрудникам до 1,5 МРОТ</w:t>
      </w:r>
    </w:p>
    <w:p w14:paraId="46F4AAFF" w14:textId="77777777" w:rsidR="00C64071" w:rsidRPr="00B26017" w:rsidRDefault="00C64071" w:rsidP="00C64071">
      <w:pPr>
        <w:spacing w:after="0" w:line="240" w:lineRule="auto"/>
        <w:ind w:firstLine="709"/>
        <w:jc w:val="both"/>
        <w:rPr>
          <w:rFonts w:ascii="Times New Roman" w:hAnsi="Times New Roman"/>
        </w:rPr>
      </w:pPr>
      <w:r w:rsidRPr="00B26017">
        <w:rPr>
          <w:rFonts w:ascii="Times New Roman" w:hAnsi="Times New Roman"/>
        </w:rPr>
        <w:t>Если компания входит в реестр субъектов малого и среднего предпринимательства (МСП), нужно заполнить два подраздела 1 раздела 1 РСВ. Дело в том, что такие компании обязаны применять пониженный тариф для выплат сверх 1,5 МРОТ (письма </w:t>
      </w:r>
      <w:hyperlink r:id="rId18" w:tgtFrame="_blank" w:history="1">
        <w:r w:rsidRPr="00B26017">
          <w:rPr>
            <w:rStyle w:val="a3"/>
            <w:rFonts w:ascii="Times New Roman" w:hAnsi="Times New Roman"/>
          </w:rPr>
          <w:t>ФНС от 17.07.2023 № ЗГ-3-11/9234</w:t>
        </w:r>
      </w:hyperlink>
      <w:r w:rsidRPr="00B26017">
        <w:rPr>
          <w:rFonts w:ascii="Times New Roman" w:hAnsi="Times New Roman"/>
        </w:rPr>
        <w:t>, </w:t>
      </w:r>
      <w:hyperlink r:id="rId19" w:tgtFrame="_blank" w:history="1">
        <w:r w:rsidRPr="00B26017">
          <w:rPr>
            <w:rStyle w:val="a3"/>
            <w:rFonts w:ascii="Times New Roman" w:hAnsi="Times New Roman"/>
          </w:rPr>
          <w:t>Минфина от 03.06.2021 № 03-15-05/43471</w:t>
        </w:r>
      </w:hyperlink>
      <w:r w:rsidRPr="00B26017">
        <w:rPr>
          <w:rFonts w:ascii="Times New Roman" w:hAnsi="Times New Roman"/>
        </w:rPr>
        <w:t>).</w:t>
      </w:r>
    </w:p>
    <w:p w14:paraId="3350DE17" w14:textId="77777777" w:rsidR="00C64071" w:rsidRPr="00B26017" w:rsidRDefault="00C64071" w:rsidP="00C64071">
      <w:pPr>
        <w:spacing w:after="0" w:line="240" w:lineRule="auto"/>
        <w:ind w:firstLine="709"/>
        <w:jc w:val="both"/>
        <w:rPr>
          <w:rFonts w:ascii="Times New Roman" w:hAnsi="Times New Roman"/>
        </w:rPr>
      </w:pPr>
      <w:r w:rsidRPr="00B26017">
        <w:rPr>
          <w:rFonts w:ascii="Times New Roman" w:hAnsi="Times New Roman"/>
        </w:rPr>
        <w:t>Для пониженного тарифа 15 процентов с части выплат свыше 1,5 МРОТ укажите код 20, для общего тарифа 30 процентов с дохода в пределах 1,5 МРОТ — код 01. Сотрудников, которые получали меньше МРОТ, покажите только по коду 01. По таким же правилам заполняйте и раздел 3. Используйте код «НР» для выплат до 33 660 руб. в месяц и код «МС» для выплат сверх этой суммы.</w:t>
      </w:r>
    </w:p>
    <w:p w14:paraId="4064EFF2" w14:textId="77777777" w:rsidR="00C64071" w:rsidRPr="00B26017" w:rsidRDefault="00C64071" w:rsidP="00C64071">
      <w:pPr>
        <w:spacing w:after="0" w:line="240" w:lineRule="auto"/>
        <w:ind w:firstLine="709"/>
        <w:jc w:val="both"/>
        <w:rPr>
          <w:rFonts w:ascii="Times New Roman" w:hAnsi="Times New Roman"/>
        </w:rPr>
      </w:pPr>
      <w:r w:rsidRPr="00B26017">
        <w:rPr>
          <w:rFonts w:ascii="Times New Roman" w:hAnsi="Times New Roman"/>
        </w:rPr>
        <w:t>Раздел 3 заполняют по каждому сотруднику. И если у вас в отчете есть только код «НР», будьте готовы объяснить, почему доходы сотрудника не превышают 1,5 МРОТ или даже меньше минималки. Например, такое возможно, если сотрудник работает неполный день. Но такие объяснения уже давно на контроле у налоговиков. Поэтому, если подобных сотрудников у вас много, стоит ожидать вызова в инспекцию и допросов ваших коллег. Налоговики установят реальные обстоятельства работы на неполную ставку.</w:t>
      </w:r>
    </w:p>
    <w:p w14:paraId="7B55FDB6" w14:textId="77777777" w:rsidR="00C64071" w:rsidRPr="00B26017" w:rsidRDefault="00C64071" w:rsidP="00C64071">
      <w:pPr>
        <w:spacing w:after="0" w:line="240" w:lineRule="auto"/>
        <w:ind w:firstLine="709"/>
        <w:jc w:val="both"/>
        <w:rPr>
          <w:rFonts w:ascii="Times New Roman" w:hAnsi="Times New Roman"/>
          <w:b/>
          <w:bCs/>
        </w:rPr>
      </w:pPr>
      <w:r w:rsidRPr="00B26017">
        <w:rPr>
          <w:rFonts w:ascii="Times New Roman" w:hAnsi="Times New Roman"/>
          <w:b/>
          <w:bCs/>
        </w:rPr>
        <w:t>Выплаты меньше среднеотраслевых зарплат</w:t>
      </w:r>
    </w:p>
    <w:p w14:paraId="2CF3376A" w14:textId="77777777" w:rsidR="00C64071" w:rsidRPr="00B26017" w:rsidRDefault="00C64071" w:rsidP="00C64071">
      <w:pPr>
        <w:spacing w:after="0" w:line="240" w:lineRule="auto"/>
        <w:ind w:firstLine="709"/>
        <w:jc w:val="both"/>
        <w:rPr>
          <w:rFonts w:ascii="Times New Roman" w:hAnsi="Times New Roman"/>
        </w:rPr>
      </w:pPr>
      <w:r w:rsidRPr="00B26017">
        <w:rPr>
          <w:rFonts w:ascii="Times New Roman" w:hAnsi="Times New Roman"/>
        </w:rPr>
        <w:t>Проверьте доходы сотрудников, которые отражаете в расчете по взносам. Росстат обновил среднеотраслевые показатели по регионам, с этими значениями инспекторы сравнивают зарплаты в компаниях. Если суммы ниже, налоговая потребует пояснений.</w:t>
      </w:r>
    </w:p>
    <w:p w14:paraId="09A1A093" w14:textId="77777777" w:rsidR="00C64071" w:rsidRPr="00B26017" w:rsidRDefault="00C64071" w:rsidP="00C64071">
      <w:pPr>
        <w:spacing w:after="0" w:line="240" w:lineRule="auto"/>
        <w:ind w:firstLine="709"/>
        <w:jc w:val="both"/>
        <w:rPr>
          <w:rFonts w:ascii="Times New Roman" w:hAnsi="Times New Roman"/>
        </w:rPr>
      </w:pPr>
      <w:r>
        <w:rPr>
          <w:rFonts w:ascii="Times New Roman" w:hAnsi="Times New Roman"/>
          <w:noProof/>
          <w:lang w:eastAsia="ru-RU"/>
        </w:rPr>
        <w:lastRenderedPageBreak/>
        <w:drawing>
          <wp:inline distT="0" distB="0" distL="0" distR="0" wp14:anchorId="34413012" wp14:editId="43DDEB5F">
            <wp:extent cx="5199380" cy="2785745"/>
            <wp:effectExtent l="19050" t="0" r="1270" b="0"/>
            <wp:docPr id="3"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7"/>
                    <pic:cNvPicPr>
                      <a:picLocks noChangeAspect="1" noChangeArrowheads="1"/>
                    </pic:cNvPicPr>
                  </pic:nvPicPr>
                  <pic:blipFill>
                    <a:blip r:embed="rId20" cstate="print"/>
                    <a:srcRect/>
                    <a:stretch>
                      <a:fillRect/>
                    </a:stretch>
                  </pic:blipFill>
                  <pic:spPr bwMode="auto">
                    <a:xfrm>
                      <a:off x="0" y="0"/>
                      <a:ext cx="5199380" cy="2785745"/>
                    </a:xfrm>
                    <a:prstGeom prst="rect">
                      <a:avLst/>
                    </a:prstGeom>
                    <a:noFill/>
                    <a:ln w="9525">
                      <a:noFill/>
                      <a:miter lim="800000"/>
                      <a:headEnd/>
                      <a:tailEnd/>
                    </a:ln>
                  </pic:spPr>
                </pic:pic>
              </a:graphicData>
            </a:graphic>
          </wp:inline>
        </w:drawing>
      </w:r>
    </w:p>
    <w:p w14:paraId="1899CA52" w14:textId="77777777" w:rsidR="00C64071" w:rsidRPr="00B26017" w:rsidRDefault="00C64071" w:rsidP="00C64071">
      <w:pPr>
        <w:spacing w:after="0" w:line="240" w:lineRule="auto"/>
        <w:ind w:firstLine="709"/>
        <w:jc w:val="both"/>
        <w:rPr>
          <w:rFonts w:ascii="Times New Roman" w:hAnsi="Times New Roman"/>
        </w:rPr>
      </w:pPr>
      <w:r w:rsidRPr="00B26017">
        <w:rPr>
          <w:rFonts w:ascii="Times New Roman" w:hAnsi="Times New Roman"/>
        </w:rPr>
        <w:t>Если ответ не устроит контролеров, ФНС может запустить дополнительную проверку, вызвать бухгалтера и руководителя на комиссию, а сотрудников — на беседу в инспекцию. Работников будут расспрашивать о реальных выплатах и постараются расколоть на признания о выплатах в конвертах.</w:t>
      </w:r>
    </w:p>
    <w:p w14:paraId="5EF377FD" w14:textId="77777777" w:rsidR="00C64071" w:rsidRPr="00B26017" w:rsidRDefault="00C64071" w:rsidP="00C64071">
      <w:pPr>
        <w:spacing w:after="0" w:line="240" w:lineRule="auto"/>
        <w:ind w:firstLine="709"/>
        <w:jc w:val="both"/>
        <w:rPr>
          <w:rFonts w:ascii="Times New Roman" w:hAnsi="Times New Roman"/>
          <w:b/>
          <w:bCs/>
        </w:rPr>
      </w:pPr>
      <w:r w:rsidRPr="00B26017">
        <w:rPr>
          <w:rFonts w:ascii="Times New Roman" w:hAnsi="Times New Roman"/>
          <w:b/>
          <w:bCs/>
        </w:rPr>
        <w:t>Важная деталь</w:t>
      </w:r>
    </w:p>
    <w:p w14:paraId="3D4F1AB3" w14:textId="77777777" w:rsidR="00C64071" w:rsidRPr="00B26017" w:rsidRDefault="00C64071" w:rsidP="00C64071">
      <w:pPr>
        <w:spacing w:after="0" w:line="240" w:lineRule="auto"/>
        <w:ind w:firstLine="709"/>
        <w:jc w:val="both"/>
        <w:rPr>
          <w:rFonts w:ascii="Times New Roman" w:hAnsi="Times New Roman"/>
        </w:rPr>
      </w:pPr>
      <w:r w:rsidRPr="00B26017">
        <w:rPr>
          <w:rFonts w:ascii="Times New Roman" w:hAnsi="Times New Roman"/>
        </w:rPr>
        <w:t>Заполняйте РСВ по каждому коду тарифа.</w:t>
      </w:r>
    </w:p>
    <w:p w14:paraId="1EC00D30" w14:textId="77777777" w:rsidR="00C64071" w:rsidRPr="00B26017" w:rsidRDefault="00C64071" w:rsidP="00C64071">
      <w:pPr>
        <w:spacing w:after="0" w:line="240" w:lineRule="auto"/>
        <w:ind w:firstLine="709"/>
        <w:jc w:val="both"/>
        <w:rPr>
          <w:rFonts w:ascii="Times New Roman" w:hAnsi="Times New Roman"/>
        </w:rPr>
      </w:pPr>
      <w:r w:rsidRPr="00B26017">
        <w:rPr>
          <w:rFonts w:ascii="Times New Roman" w:hAnsi="Times New Roman"/>
        </w:rPr>
        <w:t>Руководители и бухгалтеры могут попасть на комиссию, если зарплаты в компании ниже отраслевых на 35 и более процентов. ФНС подозревает, что в таком случае работодатель выдает часть денег в конверте. Поэтому, если выплаты в компании сильно недотягивают до средних, фонд оплаты труда стоит пересмотреть.</w:t>
      </w:r>
    </w:p>
    <w:p w14:paraId="48C69AD7" w14:textId="77777777" w:rsidR="00C64071" w:rsidRPr="00B26017" w:rsidRDefault="00C64071" w:rsidP="00C64071">
      <w:pPr>
        <w:spacing w:after="0" w:line="240" w:lineRule="auto"/>
        <w:ind w:firstLine="709"/>
        <w:jc w:val="both"/>
        <w:rPr>
          <w:rFonts w:ascii="Times New Roman" w:hAnsi="Times New Roman"/>
        </w:rPr>
      </w:pPr>
      <w:r w:rsidRPr="00B26017">
        <w:rPr>
          <w:rFonts w:ascii="Times New Roman" w:hAnsi="Times New Roman"/>
        </w:rPr>
        <w:t>Узнать средний размер зарплаты по вашей отрасли можно на сайте Росстата, в сервисе ФНС «Прозрачный бизнес» →pb.nalog.ru и на сайте ЕМИСС.</w:t>
      </w:r>
    </w:p>
    <w:p w14:paraId="062F10FC" w14:textId="77777777" w:rsidR="00C64071" w:rsidRPr="00B26017" w:rsidRDefault="00C64071" w:rsidP="00C64071">
      <w:pPr>
        <w:spacing w:after="0" w:line="240" w:lineRule="auto"/>
        <w:ind w:firstLine="709"/>
        <w:jc w:val="both"/>
        <w:rPr>
          <w:rFonts w:ascii="Times New Roman" w:hAnsi="Times New Roman"/>
        </w:rPr>
      </w:pPr>
      <w:r w:rsidRPr="00B26017">
        <w:rPr>
          <w:rFonts w:ascii="Times New Roman" w:hAnsi="Times New Roman"/>
          <w:b/>
          <w:bCs/>
        </w:rPr>
        <w:t>Через Росстат.</w:t>
      </w:r>
      <w:r w:rsidRPr="00B26017">
        <w:rPr>
          <w:rFonts w:ascii="Times New Roman" w:hAnsi="Times New Roman"/>
        </w:rPr>
        <w:t> На сайте Росстата перейдите в раздел «Статистика», далее «Официальная статистика» &gt; «Рынок труда, занятость и заработная плата». →ssl.rosstat.gov.ru В списке отчетов выберите нужный вам по отраслям, субъектам или годам. Скачайте таблицу «Среднемесячная номинальная начисленная заработная плата работников организаций по видам экономической деятельности в Российской Федерации с 2013 года».</w:t>
      </w:r>
    </w:p>
    <w:p w14:paraId="56AB5615" w14:textId="77777777" w:rsidR="00C64071" w:rsidRPr="00B26017" w:rsidRDefault="00C64071" w:rsidP="00C64071">
      <w:pPr>
        <w:spacing w:after="0" w:line="240" w:lineRule="auto"/>
        <w:ind w:firstLine="709"/>
        <w:jc w:val="both"/>
        <w:rPr>
          <w:rFonts w:ascii="Times New Roman" w:hAnsi="Times New Roman"/>
        </w:rPr>
      </w:pPr>
      <w:r w:rsidRPr="00B26017">
        <w:rPr>
          <w:rFonts w:ascii="Times New Roman" w:hAnsi="Times New Roman"/>
          <w:b/>
          <w:bCs/>
        </w:rPr>
        <w:t>Через сервис ФНС «Прозрачный бизнес».</w:t>
      </w:r>
      <w:r w:rsidRPr="00B26017">
        <w:rPr>
          <w:rFonts w:ascii="Times New Roman" w:hAnsi="Times New Roman"/>
        </w:rPr>
        <w:t> На сайте ФНС →nalog.gov.ru перейдите в сервис «Прозрачный бизнес», пройдите во вкладку «Калькулятор налоговой нагрузки». →pb.nalog.ru/calculator.html Здесь выберите налоговый период, вид экономической деятельности, регион и масштаб бизнеса, нажмите «Показать среднеотраслевые показатели».</w:t>
      </w:r>
    </w:p>
    <w:p w14:paraId="061248DC" w14:textId="77777777" w:rsidR="00C64071" w:rsidRPr="00B26017" w:rsidRDefault="00C64071" w:rsidP="00C64071">
      <w:pPr>
        <w:spacing w:after="0" w:line="240" w:lineRule="auto"/>
        <w:ind w:firstLine="709"/>
        <w:jc w:val="both"/>
        <w:rPr>
          <w:rFonts w:ascii="Times New Roman" w:hAnsi="Times New Roman"/>
        </w:rPr>
      </w:pPr>
      <w:r w:rsidRPr="00B26017">
        <w:rPr>
          <w:rFonts w:ascii="Times New Roman" w:hAnsi="Times New Roman"/>
        </w:rPr>
        <w:t>Калькулятор сравнит вашу нагрузку со средней по региону и выдаст результат в виде таблицы. Также сервис предложит сравнить уровень зарплаты со среднеотраслевым.</w:t>
      </w:r>
    </w:p>
    <w:p w14:paraId="0681E29D" w14:textId="77777777" w:rsidR="00C64071" w:rsidRPr="00B26017" w:rsidRDefault="00C64071" w:rsidP="00C64071">
      <w:pPr>
        <w:spacing w:after="0" w:line="240" w:lineRule="auto"/>
        <w:ind w:firstLine="709"/>
        <w:jc w:val="both"/>
        <w:rPr>
          <w:rFonts w:ascii="Times New Roman" w:hAnsi="Times New Roman"/>
        </w:rPr>
      </w:pPr>
      <w:r w:rsidRPr="00B26017">
        <w:rPr>
          <w:rFonts w:ascii="Times New Roman" w:hAnsi="Times New Roman"/>
          <w:b/>
          <w:bCs/>
        </w:rPr>
        <w:t>Через сайт Единой межведомственной информационно-статистической системы (ЕМИСС).</w:t>
      </w:r>
      <w:r w:rsidRPr="00B26017">
        <w:rPr>
          <w:rFonts w:ascii="Times New Roman" w:hAnsi="Times New Roman"/>
        </w:rPr>
        <w:t> Информацию о размере среднемесячной начисленной зарплаты по регионам по видам экономической деятельности можно найти на сайте государственной статистики. →fedstat.ru Вбейте поисковый запрос «Среднемесячная номинальная начисленная заработная плата работающих в экономике с 2017 г.», поставьте нужные фильтры по годам, выберите нужный код ОКВЭД. Сервис представит данные по месяцам. Отчет можно скачать в таблице и даже построить график.</w:t>
      </w:r>
    </w:p>
    <w:p w14:paraId="3FDF4779" w14:textId="77777777" w:rsidR="00C64071" w:rsidRPr="00B26017" w:rsidRDefault="00C64071" w:rsidP="00C64071">
      <w:pPr>
        <w:spacing w:after="0" w:line="240" w:lineRule="auto"/>
        <w:ind w:firstLine="709"/>
        <w:jc w:val="both"/>
        <w:rPr>
          <w:rFonts w:ascii="Times New Roman" w:hAnsi="Times New Roman"/>
          <w:b/>
          <w:bCs/>
        </w:rPr>
      </w:pPr>
      <w:r w:rsidRPr="00B26017">
        <w:rPr>
          <w:rFonts w:ascii="Times New Roman" w:hAnsi="Times New Roman"/>
          <w:b/>
          <w:bCs/>
        </w:rPr>
        <w:t>Важная деталь</w:t>
      </w:r>
    </w:p>
    <w:p w14:paraId="73C5CDC3" w14:textId="77777777" w:rsidR="00C64071" w:rsidRPr="00B26017" w:rsidRDefault="00C64071" w:rsidP="00C64071">
      <w:pPr>
        <w:spacing w:after="0" w:line="240" w:lineRule="auto"/>
        <w:ind w:firstLine="709"/>
        <w:jc w:val="both"/>
        <w:rPr>
          <w:rFonts w:ascii="Times New Roman" w:hAnsi="Times New Roman"/>
        </w:rPr>
      </w:pPr>
      <w:r w:rsidRPr="00B26017">
        <w:rPr>
          <w:rFonts w:ascii="Times New Roman" w:hAnsi="Times New Roman"/>
        </w:rPr>
        <w:t>За сентябрь уведомление по взносам не подавайте. Его заменит РСВ. Но не забудьте пополнить ЕНС.</w:t>
      </w:r>
    </w:p>
    <w:p w14:paraId="0673A5C2" w14:textId="77777777" w:rsidR="00C64071" w:rsidRPr="00B26017" w:rsidRDefault="00C64071" w:rsidP="00C64071">
      <w:pPr>
        <w:spacing w:after="0" w:line="240" w:lineRule="auto"/>
        <w:ind w:firstLine="709"/>
        <w:jc w:val="both"/>
        <w:rPr>
          <w:rFonts w:ascii="Times New Roman" w:hAnsi="Times New Roman"/>
          <w:b/>
          <w:bCs/>
        </w:rPr>
      </w:pPr>
      <w:r w:rsidRPr="00B26017">
        <w:rPr>
          <w:rFonts w:ascii="Times New Roman" w:hAnsi="Times New Roman"/>
          <w:b/>
          <w:bCs/>
        </w:rPr>
        <w:lastRenderedPageBreak/>
        <w:t>Выплаты в РСВ не совпадают с разделом 2 ЕФС-1</w:t>
      </w:r>
    </w:p>
    <w:p w14:paraId="1DAAB6F4" w14:textId="77777777" w:rsidR="00C64071" w:rsidRPr="00B26017" w:rsidRDefault="00C64071" w:rsidP="00C64071">
      <w:pPr>
        <w:spacing w:after="0" w:line="240" w:lineRule="auto"/>
        <w:ind w:firstLine="709"/>
        <w:jc w:val="both"/>
        <w:rPr>
          <w:rFonts w:ascii="Times New Roman" w:hAnsi="Times New Roman"/>
        </w:rPr>
      </w:pPr>
      <w:r w:rsidRPr="00B26017">
        <w:rPr>
          <w:rFonts w:ascii="Times New Roman" w:hAnsi="Times New Roman"/>
        </w:rPr>
        <w:t>Чиновники сравнивают выплаты, которые вы приводите в РСВ и в разделе 2 ЕФС-1. Формула выглядит так:</w:t>
      </w:r>
    </w:p>
    <w:tbl>
      <w:tblPr>
        <w:tblW w:w="11775" w:type="dxa"/>
        <w:tblCellMar>
          <w:left w:w="0" w:type="dxa"/>
          <w:right w:w="0" w:type="dxa"/>
        </w:tblCellMar>
        <w:tblLook w:val="04A0" w:firstRow="1" w:lastRow="0" w:firstColumn="1" w:lastColumn="0" w:noHBand="0" w:noVBand="1"/>
      </w:tblPr>
      <w:tblGrid>
        <w:gridCol w:w="11775"/>
      </w:tblGrid>
      <w:tr w:rsidR="00C64071" w:rsidRPr="00A811B3" w14:paraId="6DFC5673" w14:textId="77777777" w:rsidTr="00145004">
        <w:tc>
          <w:tcPr>
            <w:tcW w:w="0" w:type="auto"/>
            <w:tcMar>
              <w:top w:w="105" w:type="dxa"/>
              <w:left w:w="0" w:type="dxa"/>
              <w:bottom w:w="105" w:type="dxa"/>
              <w:right w:w="525" w:type="dxa"/>
            </w:tcMar>
            <w:hideMark/>
          </w:tcPr>
          <w:p w14:paraId="39398050" w14:textId="77777777" w:rsidR="00C64071" w:rsidRPr="00A811B3" w:rsidRDefault="00C64071" w:rsidP="00145004">
            <w:pPr>
              <w:spacing w:after="0" w:line="240" w:lineRule="auto"/>
              <w:ind w:firstLine="709"/>
              <w:jc w:val="both"/>
              <w:rPr>
                <w:rFonts w:ascii="Times New Roman" w:hAnsi="Times New Roman"/>
              </w:rPr>
            </w:pPr>
            <w:r>
              <w:rPr>
                <w:rFonts w:ascii="Times New Roman" w:hAnsi="Times New Roman"/>
                <w:noProof/>
                <w:lang w:eastAsia="ru-RU"/>
              </w:rPr>
              <w:drawing>
                <wp:inline distT="0" distB="0" distL="0" distR="0" wp14:anchorId="339B7B45" wp14:editId="6ED4E526">
                  <wp:extent cx="5369560" cy="1073785"/>
                  <wp:effectExtent l="19050" t="0" r="2540" b="0"/>
                  <wp:docPr id="4"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6"/>
                          <pic:cNvPicPr>
                            <a:picLocks noChangeAspect="1" noChangeArrowheads="1"/>
                          </pic:cNvPicPr>
                        </pic:nvPicPr>
                        <pic:blipFill>
                          <a:blip r:embed="rId21" cstate="print"/>
                          <a:srcRect/>
                          <a:stretch>
                            <a:fillRect/>
                          </a:stretch>
                        </pic:blipFill>
                        <pic:spPr bwMode="auto">
                          <a:xfrm>
                            <a:off x="0" y="0"/>
                            <a:ext cx="5369560" cy="1073785"/>
                          </a:xfrm>
                          <a:prstGeom prst="rect">
                            <a:avLst/>
                          </a:prstGeom>
                          <a:noFill/>
                          <a:ln w="9525">
                            <a:noFill/>
                            <a:miter lim="800000"/>
                            <a:headEnd/>
                            <a:tailEnd/>
                          </a:ln>
                        </pic:spPr>
                      </pic:pic>
                    </a:graphicData>
                  </a:graphic>
                </wp:inline>
              </w:drawing>
            </w:r>
          </w:p>
        </w:tc>
      </w:tr>
    </w:tbl>
    <w:p w14:paraId="048D6E5F" w14:textId="77777777" w:rsidR="00C64071" w:rsidRPr="00B26017" w:rsidRDefault="00C64071" w:rsidP="00C64071">
      <w:pPr>
        <w:spacing w:after="0" w:line="240" w:lineRule="auto"/>
        <w:ind w:firstLine="709"/>
        <w:jc w:val="both"/>
        <w:rPr>
          <w:rFonts w:ascii="Times New Roman" w:hAnsi="Times New Roman"/>
        </w:rPr>
      </w:pPr>
      <w:r w:rsidRPr="00B26017">
        <w:rPr>
          <w:rFonts w:ascii="Times New Roman" w:hAnsi="Times New Roman"/>
        </w:rPr>
        <w:t>Разница в пользу РСВ бывает из-за того, что на вознаграждение по ГПД взносы на случай травматизма начисляют, только если такое условие есть в договоре. Также разница возможна из-за сверхнормативных суточных. Взносы на травматизм платить с них не надо. А для взносов по </w:t>
      </w:r>
      <w:hyperlink r:id="rId22" w:anchor="ZAP2A9S3K0" w:tgtFrame="_blank" w:history="1">
        <w:r w:rsidRPr="00B26017">
          <w:rPr>
            <w:rStyle w:val="a3"/>
            <w:rFonts w:ascii="Times New Roman" w:hAnsi="Times New Roman"/>
          </w:rPr>
          <w:t>главе 34</w:t>
        </w:r>
      </w:hyperlink>
      <w:r w:rsidRPr="00B26017">
        <w:rPr>
          <w:rFonts w:ascii="Times New Roman" w:hAnsi="Times New Roman"/>
        </w:rPr>
        <w:t> НК необлагаемые нормативы такие: 700 руб. — по командировкам по России, 2500 руб. — по загранкомандировкам. С превышения нужно платить взносы.</w:t>
      </w:r>
    </w:p>
    <w:p w14:paraId="40CFD7E7" w14:textId="77777777" w:rsidR="00C64071" w:rsidRPr="00B26017" w:rsidRDefault="00C64071" w:rsidP="00C64071">
      <w:pPr>
        <w:spacing w:after="0" w:line="240" w:lineRule="auto"/>
        <w:ind w:firstLine="709"/>
        <w:jc w:val="both"/>
        <w:rPr>
          <w:rFonts w:ascii="Times New Roman" w:hAnsi="Times New Roman"/>
        </w:rPr>
      </w:pPr>
      <w:r w:rsidRPr="00B26017">
        <w:rPr>
          <w:rFonts w:ascii="Times New Roman" w:hAnsi="Times New Roman"/>
        </w:rPr>
        <w:t>Когда соотношение не выполняется в пользу ЕФС-1, проверьте, из-за чего возникла разница. Если она возникла по одной из двух указанных ниже причин, у вас в отчетности все верно. Если нет, в учете ошибка, которую нужно найти и исправить.</w:t>
      </w:r>
    </w:p>
    <w:p w14:paraId="009A84E6" w14:textId="77777777" w:rsidR="00C64071" w:rsidRPr="00B26017" w:rsidRDefault="00C64071" w:rsidP="00C64071">
      <w:pPr>
        <w:spacing w:after="0" w:line="240" w:lineRule="auto"/>
        <w:ind w:firstLine="709"/>
        <w:jc w:val="both"/>
        <w:rPr>
          <w:rFonts w:ascii="Times New Roman" w:hAnsi="Times New Roman"/>
        </w:rPr>
      </w:pPr>
      <w:r w:rsidRPr="00B26017">
        <w:rPr>
          <w:rFonts w:ascii="Times New Roman" w:hAnsi="Times New Roman"/>
          <w:b/>
          <w:bCs/>
        </w:rPr>
        <w:t>Компания работает с самозанятыми, в договоре с которыми предусмотрено страхование от несчастных случаев.</w:t>
      </w:r>
      <w:r w:rsidRPr="00B26017">
        <w:rPr>
          <w:rFonts w:ascii="Times New Roman" w:hAnsi="Times New Roman"/>
        </w:rPr>
        <w:t> По общему правилу вознаграждения и самих самозанятых не включают ни в РСВ, ни в ЕФС-1. Но есть исключение (</w:t>
      </w:r>
      <w:hyperlink r:id="rId23" w:tgtFrame="_blank" w:history="1">
        <w:r w:rsidRPr="00B26017">
          <w:rPr>
            <w:rStyle w:val="a3"/>
            <w:rFonts w:ascii="Times New Roman" w:hAnsi="Times New Roman"/>
          </w:rPr>
          <w:t>письмо СФР от 05.08.2024 № 19-20/35785</w:t>
        </w:r>
      </w:hyperlink>
      <w:r w:rsidRPr="00B26017">
        <w:rPr>
          <w:rFonts w:ascii="Times New Roman" w:hAnsi="Times New Roman"/>
        </w:rPr>
        <w:t>). Компания может договориться с самим сотрудником застраховать его от несчастных случаев. Тогда самозанятого нужно включить в </w:t>
      </w:r>
      <w:hyperlink r:id="rId24" w:tgtFrame="_blank" w:history="1">
        <w:r w:rsidRPr="00B26017">
          <w:rPr>
            <w:rStyle w:val="a3"/>
            <w:rFonts w:ascii="Times New Roman" w:hAnsi="Times New Roman"/>
          </w:rPr>
          <w:t>раздел 2</w:t>
        </w:r>
      </w:hyperlink>
      <w:r w:rsidRPr="00B26017">
        <w:rPr>
          <w:rFonts w:ascii="Times New Roman" w:hAnsi="Times New Roman"/>
        </w:rPr>
        <w:t> ЕФС-1. Выплаты попадут в строку 3 </w:t>
      </w:r>
      <w:hyperlink r:id="rId25" w:tgtFrame="_blank" w:history="1">
        <w:r w:rsidRPr="00B26017">
          <w:rPr>
            <w:rStyle w:val="a3"/>
            <w:rFonts w:ascii="Times New Roman" w:hAnsi="Times New Roman"/>
          </w:rPr>
          <w:t>подраздела 2.1</w:t>
        </w:r>
      </w:hyperlink>
      <w:r w:rsidRPr="00B26017">
        <w:rPr>
          <w:rFonts w:ascii="Times New Roman" w:hAnsi="Times New Roman"/>
        </w:rPr>
        <w:t> как облагаемые, и будет разница пользу ЕФС-1.</w:t>
      </w:r>
    </w:p>
    <w:p w14:paraId="42E92613" w14:textId="77777777" w:rsidR="00C64071" w:rsidRPr="00B26017" w:rsidRDefault="00C64071" w:rsidP="00C64071">
      <w:pPr>
        <w:spacing w:after="0" w:line="240" w:lineRule="auto"/>
        <w:ind w:firstLine="709"/>
        <w:jc w:val="both"/>
        <w:rPr>
          <w:rFonts w:ascii="Times New Roman" w:hAnsi="Times New Roman"/>
        </w:rPr>
      </w:pPr>
      <w:r w:rsidRPr="00B26017">
        <w:rPr>
          <w:rFonts w:ascii="Times New Roman" w:hAnsi="Times New Roman"/>
          <w:b/>
          <w:bCs/>
        </w:rPr>
        <w:t>В компании есть иностранцы, которые работают за границей по трудовым договорам.</w:t>
      </w:r>
      <w:r w:rsidRPr="00B26017">
        <w:rPr>
          <w:rFonts w:ascii="Times New Roman" w:hAnsi="Times New Roman"/>
        </w:rPr>
        <w:t> Выплаты иностранцам не облагаются взносами по </w:t>
      </w:r>
      <w:hyperlink r:id="rId26" w:anchor="ZAP2A9S3K0" w:tgtFrame="_blank" w:history="1">
        <w:r w:rsidRPr="00B26017">
          <w:rPr>
            <w:rStyle w:val="a3"/>
            <w:rFonts w:ascii="Times New Roman" w:hAnsi="Times New Roman"/>
          </w:rPr>
          <w:t>главе 34</w:t>
        </w:r>
      </w:hyperlink>
      <w:r w:rsidRPr="00B26017">
        <w:rPr>
          <w:rFonts w:ascii="Times New Roman" w:hAnsi="Times New Roman"/>
        </w:rPr>
        <w:t> НК. Такие физики не признаются застрахованными, поэтому показывать их в РСВ не нужно. Взносы на страхование от несчастных случаев начисляют на выплаты всем, кто работает по трудовым договорам. Статус сотрудника значения не имеет. Он попадет в </w:t>
      </w:r>
      <w:hyperlink r:id="rId27" w:anchor="ZA00MHA2NE" w:tgtFrame="_blank" w:history="1">
        <w:r w:rsidRPr="00B26017">
          <w:rPr>
            <w:rStyle w:val="a3"/>
            <w:rFonts w:ascii="Times New Roman" w:hAnsi="Times New Roman"/>
          </w:rPr>
          <w:t>раздел 2</w:t>
        </w:r>
      </w:hyperlink>
      <w:r w:rsidRPr="00B26017">
        <w:rPr>
          <w:rFonts w:ascii="Times New Roman" w:hAnsi="Times New Roman"/>
        </w:rPr>
        <w:t> ЕФС-1, и в этом случае также возникнет разница в пользу показателя из этого отчета.</w:t>
      </w:r>
    </w:p>
    <w:p w14:paraId="05667B6D" w14:textId="77777777" w:rsidR="00C64071" w:rsidRPr="00B26017" w:rsidRDefault="00C64071" w:rsidP="00C64071">
      <w:pPr>
        <w:spacing w:after="0" w:line="240" w:lineRule="auto"/>
        <w:ind w:firstLine="709"/>
        <w:jc w:val="both"/>
        <w:rPr>
          <w:rFonts w:ascii="Times New Roman" w:hAnsi="Times New Roman"/>
        </w:rPr>
      </w:pPr>
      <w:r w:rsidRPr="00B26017">
        <w:rPr>
          <w:rFonts w:ascii="Times New Roman" w:hAnsi="Times New Roman"/>
        </w:rPr>
        <w:t>На заметку</w:t>
      </w:r>
    </w:p>
    <w:p w14:paraId="4799BF57" w14:textId="77777777" w:rsidR="00C64071" w:rsidRPr="00B26017" w:rsidRDefault="00C64071" w:rsidP="00C64071">
      <w:pPr>
        <w:spacing w:after="0" w:line="240" w:lineRule="auto"/>
        <w:ind w:firstLine="709"/>
        <w:jc w:val="both"/>
        <w:rPr>
          <w:rFonts w:ascii="Times New Roman" w:hAnsi="Times New Roman"/>
          <w:b/>
          <w:bCs/>
        </w:rPr>
      </w:pPr>
      <w:r w:rsidRPr="00B26017">
        <w:rPr>
          <w:rFonts w:ascii="Times New Roman" w:hAnsi="Times New Roman"/>
          <w:b/>
          <w:bCs/>
        </w:rPr>
        <w:t>Если компания выдает работнику зарплату ниже средней по отрасли, это не нарушает его права</w:t>
      </w:r>
    </w:p>
    <w:p w14:paraId="704E5607" w14:textId="77777777" w:rsidR="00C64071" w:rsidRPr="00B26017" w:rsidRDefault="00C64071" w:rsidP="00C64071">
      <w:pPr>
        <w:spacing w:after="0" w:line="240" w:lineRule="auto"/>
        <w:ind w:firstLine="709"/>
        <w:jc w:val="both"/>
        <w:rPr>
          <w:rFonts w:ascii="Times New Roman" w:hAnsi="Times New Roman"/>
        </w:rPr>
      </w:pPr>
      <w:r w:rsidRPr="00B26017">
        <w:rPr>
          <w:rFonts w:ascii="Times New Roman" w:hAnsi="Times New Roman"/>
        </w:rPr>
        <w:t>Сотрудница работала в московской компании в должности оператора. Совокупный доход в месяц составил 50 000 руб. (оклад 34 500 руб. и премия). Работница решила, что работодатель нарушает ее трудовые права: уровень зарплаты ниже среднеотраслевой, индексации не проводят, размер премии рассчитывают неправильно, да и оклад по должности с аналогичными функциями на рынке труда был повыше. Работница уволилась и обратилась в суд с требованием взыскать с работодателя положенные ей выплаты.</w:t>
      </w:r>
    </w:p>
    <w:p w14:paraId="08473A31" w14:textId="77777777" w:rsidR="00C64071" w:rsidRPr="00B26017" w:rsidRDefault="00C64071" w:rsidP="00C64071">
      <w:pPr>
        <w:spacing w:after="0" w:line="240" w:lineRule="auto"/>
        <w:ind w:firstLine="709"/>
        <w:jc w:val="both"/>
        <w:rPr>
          <w:rFonts w:ascii="Times New Roman" w:hAnsi="Times New Roman"/>
          <w:b/>
          <w:bCs/>
        </w:rPr>
      </w:pPr>
      <w:r w:rsidRPr="00B26017">
        <w:rPr>
          <w:rFonts w:ascii="Times New Roman" w:hAnsi="Times New Roman"/>
        </w:rPr>
        <w:t>Дело выиграл работодатель (определение Второго КСОЮ от 29.05.2025 № 88-7771/2025). Зарплата сотрудницы хотя и была ниже средней по отрасли, но превышала региональный МРОТ за все периоды работы в компании с 2022 по 2023 год. Премии — негарантированная часть зарплаты за выполнение установленных трудовых показателей, до которых работница не дотянула. Суд напомнил, что коммерческие компании устанавливают правила индексации зарплат самостоятельно. Работодатель вправе повышать суммы через увеличение окладов или путем пересмотра мотивационной карты по премиям. Раз в компании действует система премирования, нарушений правил индексации нет.</w:t>
      </w:r>
    </w:p>
    <w:p w14:paraId="66738B25" w14:textId="27CF162C" w:rsidR="000C47A4" w:rsidRDefault="00C64071" w:rsidP="00146162">
      <w:pPr>
        <w:spacing w:after="0" w:line="240" w:lineRule="auto"/>
        <w:ind w:firstLine="709"/>
        <w:jc w:val="right"/>
      </w:pPr>
      <w:r>
        <w:rPr>
          <w:rFonts w:ascii="Times New Roman" w:hAnsi="Times New Roman"/>
        </w:rPr>
        <w:t xml:space="preserve">Журнал «Главбух» №19, 2025 </w:t>
      </w:r>
    </w:p>
    <w:sectPr w:rsidR="000C47A4" w:rsidSect="000C47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64071"/>
    <w:rsid w:val="000C47A4"/>
    <w:rsid w:val="00146162"/>
    <w:rsid w:val="00B71F9E"/>
    <w:rsid w:val="00C64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336CE"/>
  <w15:docId w15:val="{AF528CD3-BBBD-413A-88B0-C4B87B4EC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071"/>
    <w:pPr>
      <w:spacing w:after="160" w:line="278" w:lineRule="auto"/>
    </w:pPr>
    <w:rPr>
      <w:rFonts w:ascii="Calibri" w:eastAsia="Calibri" w:hAnsi="Calibri"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64071"/>
    <w:rPr>
      <w:color w:val="0000FF"/>
      <w:u w:val="single"/>
    </w:rPr>
  </w:style>
  <w:style w:type="paragraph" w:styleId="a4">
    <w:name w:val="Balloon Text"/>
    <w:basedOn w:val="a"/>
    <w:link w:val="a5"/>
    <w:uiPriority w:val="99"/>
    <w:semiHidden/>
    <w:unhideWhenUsed/>
    <w:rsid w:val="00C6407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4071"/>
    <w:rPr>
      <w:rFonts w:ascii="Tahoma" w:eastAsia="Calibri"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glavbukh.ru/npd-doc?npmid=99&amp;npid=556523297" TargetMode="External"/><Relationship Id="rId13" Type="http://schemas.openxmlformats.org/officeDocument/2006/relationships/hyperlink" Target="https://e.glavbukh.ru/npd-doc?npmid=99&amp;npid=901807664&amp;anchor=ZA02AVG3L0" TargetMode="External"/><Relationship Id="rId18" Type="http://schemas.openxmlformats.org/officeDocument/2006/relationships/hyperlink" Target="https://e.glavbukh.ru/npd-doc?npmid=99&amp;npid=1302272753" TargetMode="External"/><Relationship Id="rId26" Type="http://schemas.openxmlformats.org/officeDocument/2006/relationships/hyperlink" Target="https://e.glavbukh.ru/npd-doc?npmid=99&amp;npid=901765862&amp;anchor=ZAP2A9S3K0" TargetMode="External"/><Relationship Id="rId3" Type="http://schemas.openxmlformats.org/officeDocument/2006/relationships/webSettings" Target="webSettings.xml"/><Relationship Id="rId21" Type="http://schemas.openxmlformats.org/officeDocument/2006/relationships/image" Target="media/image4.png"/><Relationship Id="rId7" Type="http://schemas.openxmlformats.org/officeDocument/2006/relationships/hyperlink" Target="https://e.glavbukh.ru/npd-doc?npmid=99&amp;npid=544415128" TargetMode="External"/><Relationship Id="rId12" Type="http://schemas.openxmlformats.org/officeDocument/2006/relationships/hyperlink" Target="https://e.glavbukh.ru/npd-doc?npmid=99&amp;npid=901765862&amp;anchor=ZAP25B63GV" TargetMode="External"/><Relationship Id="rId17" Type="http://schemas.openxmlformats.org/officeDocument/2006/relationships/image" Target="media/image2.png"/><Relationship Id="rId25" Type="http://schemas.openxmlformats.org/officeDocument/2006/relationships/hyperlink" Target="https://e.glavbukh.ru/npd-doc?npmid=99&amp;npid=578365944" TargetMode="External"/><Relationship Id="rId2" Type="http://schemas.openxmlformats.org/officeDocument/2006/relationships/settings" Target="settings.xml"/><Relationship Id="rId16" Type="http://schemas.openxmlformats.org/officeDocument/2006/relationships/hyperlink" Target="https://e.glavbukh.ru/npd-doc?npmid=99&amp;npid=1312635888"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glavbukh.ru/npd-doc?npmid=99&amp;npid=456044227" TargetMode="External"/><Relationship Id="rId11" Type="http://schemas.openxmlformats.org/officeDocument/2006/relationships/hyperlink" Target="https://e.glavbukh.ru/npd-doc?npmid=99&amp;npid=456031300" TargetMode="External"/><Relationship Id="rId24" Type="http://schemas.openxmlformats.org/officeDocument/2006/relationships/hyperlink" Target="https://e.glavbukh.ru/npd-doc?npmid=99&amp;npid=578365944" TargetMode="External"/><Relationship Id="rId5" Type="http://schemas.openxmlformats.org/officeDocument/2006/relationships/hyperlink" Target="https://e.glavbukh.ru/npd-doc?npmid=99&amp;npid=901765862&amp;anchor=ZAP230K3F7" TargetMode="External"/><Relationship Id="rId15" Type="http://schemas.openxmlformats.org/officeDocument/2006/relationships/hyperlink" Target="https://e.glavbukh.ru/npd-doc?npmid=99&amp;npid=603557252" TargetMode="External"/><Relationship Id="rId23" Type="http://schemas.openxmlformats.org/officeDocument/2006/relationships/hyperlink" Target="https://e.glavbukh.ru/npd-doc?npmid=99&amp;npid=578365944" TargetMode="External"/><Relationship Id="rId28" Type="http://schemas.openxmlformats.org/officeDocument/2006/relationships/fontTable" Target="fontTable.xml"/><Relationship Id="rId10" Type="http://schemas.openxmlformats.org/officeDocument/2006/relationships/hyperlink" Target="https://e.glavbukh.ru/npd-doc?npmid=99&amp;npid=420242435" TargetMode="External"/><Relationship Id="rId19" Type="http://schemas.openxmlformats.org/officeDocument/2006/relationships/hyperlink" Target="https://e.glavbukh.ru/npd-doc?npmid=99&amp;npid=607199278" TargetMode="External"/><Relationship Id="rId4" Type="http://schemas.openxmlformats.org/officeDocument/2006/relationships/image" Target="media/image1.png"/><Relationship Id="rId9" Type="http://schemas.openxmlformats.org/officeDocument/2006/relationships/hyperlink" Target="https://e.glavbukh.ru/npd-doc?npmid=99&amp;npid=420269977" TargetMode="External"/><Relationship Id="rId14" Type="http://schemas.openxmlformats.org/officeDocument/2006/relationships/hyperlink" Target="https://e.glavbukh.ru/npd-doc?npmid=99&amp;npid=902079672" TargetMode="External"/><Relationship Id="rId22" Type="http://schemas.openxmlformats.org/officeDocument/2006/relationships/hyperlink" Target="https://e.glavbukh.ru/npd-doc?npmid=99&amp;npid=901765862&amp;anchor=ZAP2A9S3K0" TargetMode="External"/><Relationship Id="rId27" Type="http://schemas.openxmlformats.org/officeDocument/2006/relationships/hyperlink" Target="https://e.glavbukh.ru/npd-doc?npmid=99&amp;npid=901714421&amp;anchor=ZA00MHA2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1797</Words>
  <Characters>10246</Characters>
  <Application>Microsoft Office Word</Application>
  <DocSecurity>0</DocSecurity>
  <Lines>85</Lines>
  <Paragraphs>24</Paragraphs>
  <ScaleCrop>false</ScaleCrop>
  <Company>Grizli777</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Pozdnyakova</dc:creator>
  <cp:lastModifiedBy>Екатерина Хомякова</cp:lastModifiedBy>
  <cp:revision>2</cp:revision>
  <dcterms:created xsi:type="dcterms:W3CDTF">2025-10-13T13:25:00Z</dcterms:created>
  <dcterms:modified xsi:type="dcterms:W3CDTF">2025-10-30T07:10:00Z</dcterms:modified>
</cp:coreProperties>
</file>